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261</w:t>
      </w:r>
    </w:p>
    <w:p>
      <w:r>
        <w:t>Bundesgericht (BGE), 2004-09-02, DE</w:t>
      </w:r>
    </w:p>
    <w:p>
      <w:r>
        <w:rPr>
          <w:b/>
        </w:rPr>
        <w:t xml:space="preserve">Quelle: </w:t>
      </w:r>
      <w:r>
        <w:t>https://mcp.opencaselaw.ch/entscheid/bge_135 I 261</w:t>
      </w:r>
    </w:p>
    <w:p>
      <w:r>
        <w:t>FR: ATF 135 I 261</w:t>
      </w:r>
    </w:p>
    <w:p>
      <w:r>
        <w:t>IT: DTF 135 I 261</w:t>
      </w:r>
    </w:p>
    <w:p>
      <w:pPr>
        <w:pStyle w:val="Heading2"/>
      </w:pPr>
      <w:r>
        <w:t>Regeste</w:t>
      </w:r>
    </w:p>
    <w:p>
      <w:r>
        <w:t>Regeste Art. 80 Abs. 1 und Art. 93 Abs. 1 lit. a BGG. Beschwerden gegen verfahrensleitende Verfügungen des Strafkammerpräsidiums des Bundesstrafgerichtes sind unter den Voraussetzungen von Art. 92-94 BGG zulässig. Im vorliegenden Fall wurde ein privater Wahlverteidiger wegen Interessenkollisionen nicht zugelassen; Bejahung eines drohenden nicht wieder gutzumachenden Nachteils im Sinne von Art. 93 Abs. 1 lit. a BGG (E. 1.1-1.4).</w:t>
      </w:r>
    </w:p>
    <w:p>
      <w:pPr>
        <w:pStyle w:val="Heading2"/>
      </w:pPr>
      <w:r>
        <w:t>Erwägungen</w:t>
      </w:r>
    </w:p>
    <w:p>
      <w:r>
        <w:rPr>
          <w:b/>
        </w:rPr>
        <w:t>E. 1</w:t>
      </w:r>
    </w:p>
    <w:p>
      <w:r>
        <w:t>Strafprozessuale Zwischenentscheide der Strafkammer des Bundesstrafgerichts sind (unter den Voraussetzungen von Art. 92-94 BGG ) grundsätzlich anfechtbar ( Art. 80 Abs. 1 BGG ). Dies gilt grundsätzlich auch für verfahrensleitende Entscheide des Präsidenten der Strafkammer (vgl. BGE 134 IV 237 ). Im Gegensatz zu Art. 79 BGG (Entscheide der Beschwerdekammer) beschränkt das Gesetz die Anfechtbarkeit nicht auf Zwangsmassnahmenentscheide der Strafkammer. BGE 135 I 261 S. 263</w:t>
      </w:r>
    </w:p>
    <w:p>
      <w:r>
        <w:rPr>
          <w:b/>
        </w:rPr>
        <w:t>E. 1.1</w:t>
      </w:r>
    </w:p>
    <w:p>
      <w:r>
        <w:t>Zu prüfen ist, ob die Eintretensvoraussetzungen von Art. 93 Abs. 1 lit. a BGG erfüllt sind:</w:t>
      </w:r>
    </w:p>
    <w:p>
      <w:r>
        <w:rPr>
          <w:b/>
        </w:rPr>
        <w:t>E. 1.2</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BGE 134 IV 43 E. 2.1 S. 45; BGE 133 IV 139 E. 4 S. 141, BGE 133 IV 288 E. 3.1 S. 291, 335 E. 4 S. 338; je mit Hinweisen). Der blosse Umstand, dass es sich beim Offizialverteidiger nicht um den Wunsch- bzw. Vertrauensanwalt des Angeschuldigten handelt, schliesst eine wirksame und ausreichende Verteidigung nicht aus. Die Ablehnung eines Gesuches des Angeschuldigten um Auswechslung des Offizialverteidigers begründet daher grundsätzlich keinen nicht wieder gutzumachenden Rechtsnachteil im Sinne des Gesetzes ( BGE 126 I 207 E. 2b S. 211). Anders kann der Fall liegen, wenn der amtliche Verteidiger seine Pflichten erheblich vernachlässigt (vgl. BGE 120 Ia 48 E. 2 S. 50 ff.) oder wenn die Strafjustizbehörden gegen den Willen des Angeschuldigten und seines Offizialverteidigers dessen Abberufung anordnen ( BGE 133 IV 335 E. 4 S. 339).</w:t>
      </w:r>
    </w:p>
    <w:p>
      <w:r>
        <w:rPr>
          <w:b/>
        </w:rPr>
        <w:t>E. 1.3</w:t>
      </w:r>
    </w:p>
    <w:p>
      <w:r>
        <w:t>Die Beschwerdeführer sehen einen Nachteil im Sinne von Art. 93 Abs. 1 lit. a BGG darin, dass Y. im hängigen Gerichtsverfahren nicht vom Anwalt seines Vertrauens verteidigt werde. Der Nachteil könne innert nützlicher Frist nicht behoben werden, da eine rückwirkende Korrektur nicht möglich wäre. Dies gelte auch im Hinblick auf eine allfällige neue Prüfung der prozessualen Rügen durch die Strafkammer des Bundesstrafgerichts.</w:t>
      </w:r>
    </w:p>
    <w:p>
      <w:r>
        <w:rPr>
          <w:b/>
        </w:rPr>
        <w:t>E. 1.4</w:t>
      </w:r>
    </w:p>
    <w:p>
      <w:r>
        <w:t>Die Beschwerdeführer verlangen die forensische Zulassung von Rechtsanwalt X. als privater Wahlverteidiger im hängigen Gerichtsverfahren. Y. wird seit dem 1. September 2004 durch seinen amtlichen Verteidiger A. vertreten. Die Beschwerdeführer beantragen keine Abberufung des Offizialverteidigers (und keine Einsetzung von X. als neuer Offizialverteidiger). Ebenso wenig wird in der Beschwerdeschrift geltend gemacht, dass der amtliche Verteidiger seine Pflichten vernachlässigt hätte. Allerdings könnte durch die Nichtzulassung von X. als erbetener Verteidiger bewirkt werden, dass dem BGE 135 I 261 S. 264 Y. eine (ausschliessliche) Offizialverteidigung faktisch aufgedrängt bzw. die (zusätzliche) Interessenvertretung durch den gewünschten Privatverteidiger verunmöglicht würde. Dies könnte gegebenenfalls im Widerspruch stehen zum Anspruch des Angeklagten auf erbetene (privat finanzierte) Verteidigung durch den Anwalt seiner Wahl (vgl. Art. 6 Ziff. 3 lit. c EMRK ; Art. 14 Abs. 3 lit. d UNO-Pakt II [SR 0.103.2]; Art. 32 Abs. 2 Satz BV). Insofern kann hier ein drohender Nachteil im Sinne von Art. 93 Abs. 1 lit. a BGG bejaht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